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496E8E">
      <w:pPr>
        <w:pStyle w:val="Header"/>
        <w:jc w:val="right"/>
        <w:divId w:val="1663310892"/>
      </w:pPr>
    </w:p>
    <w:p w:rsidR="00000000" w:rsidRPr="006F0BC7" w:rsidRDefault="00496E8E" w:rsidP="006F0BC7">
      <w:pPr>
        <w:pStyle w:val="Title"/>
        <w:bidi/>
        <w:jc w:val="center"/>
        <w:rPr>
          <w:rStyle w:val="Strong"/>
          <w:rFonts w:cs="David" w:hint="cs"/>
          <w:sz w:val="24"/>
          <w:szCs w:val="24"/>
          <w:rtl/>
        </w:rPr>
      </w:pPr>
      <w:bookmarkStart w:id="0" w:name="_GoBack"/>
      <w:r w:rsidRPr="006F0BC7">
        <w:rPr>
          <w:rStyle w:val="Strong"/>
          <w:rFonts w:cs="David" w:hint="cs"/>
          <w:sz w:val="24"/>
          <w:szCs w:val="24"/>
          <w:rtl/>
        </w:rPr>
        <w:t>הודעה על ביטול הכרזה בדבר קיום מונופולין</w:t>
      </w:r>
    </w:p>
    <w:p w:rsidR="00000000" w:rsidRPr="006F0BC7" w:rsidRDefault="00496E8E" w:rsidP="006F0BC7">
      <w:pPr>
        <w:pStyle w:val="Title"/>
        <w:bidi/>
        <w:jc w:val="center"/>
        <w:rPr>
          <w:rStyle w:val="Strong"/>
          <w:rFonts w:cs="David" w:hint="cs"/>
          <w:sz w:val="24"/>
          <w:szCs w:val="24"/>
          <w:u w:val="single"/>
          <w:rtl/>
        </w:rPr>
      </w:pPr>
      <w:r w:rsidRPr="006F0BC7">
        <w:rPr>
          <w:rStyle w:val="Strong"/>
          <w:rFonts w:cs="David" w:hint="cs"/>
          <w:sz w:val="24"/>
          <w:szCs w:val="24"/>
          <w:u w:val="single"/>
          <w:rtl/>
        </w:rPr>
        <w:t xml:space="preserve">לפי חוק ההגבלים העסקיים, </w:t>
      </w:r>
      <w:proofErr w:type="spellStart"/>
      <w:r w:rsidRPr="006F0BC7">
        <w:rPr>
          <w:rStyle w:val="Strong"/>
          <w:rFonts w:cs="David" w:hint="cs"/>
          <w:sz w:val="24"/>
          <w:szCs w:val="24"/>
          <w:u w:val="single"/>
          <w:rtl/>
        </w:rPr>
        <w:t>התשמ"ח</w:t>
      </w:r>
      <w:proofErr w:type="spellEnd"/>
      <w:r w:rsidRPr="006F0BC7">
        <w:rPr>
          <w:rStyle w:val="Strong"/>
          <w:rFonts w:cs="David" w:hint="cs"/>
          <w:sz w:val="24"/>
          <w:szCs w:val="24"/>
          <w:u w:val="single"/>
          <w:rtl/>
        </w:rPr>
        <w:t>–1988</w:t>
      </w:r>
    </w:p>
    <w:bookmarkEnd w:id="0"/>
    <w:p w:rsidR="00000000" w:rsidRDefault="00496E8E">
      <w:pPr>
        <w:overflowPunct w:val="0"/>
        <w:bidi/>
        <w:adjustRightInd w:val="0"/>
        <w:textAlignment w:val="baseline"/>
        <w:rPr>
          <w:rFonts w:hint="cs"/>
          <w:rtl/>
        </w:rPr>
      </w:pPr>
    </w:p>
    <w:p w:rsidR="00000000" w:rsidRDefault="00496E8E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בתוקף סמכותי לפי סעיף 26(א) לחוק ההגבלים העסקיים, </w:t>
      </w:r>
      <w:proofErr w:type="spellStart"/>
      <w:r>
        <w:rPr>
          <w:rFonts w:cs="David" w:hint="cs"/>
          <w:rtl/>
        </w:rPr>
        <w:t>התשמ"ח</w:t>
      </w:r>
      <w:proofErr w:type="spellEnd"/>
      <w:r>
        <w:rPr>
          <w:rFonts w:cs="David" w:hint="cs"/>
          <w:rtl/>
        </w:rPr>
        <w:t>–1988</w:t>
      </w:r>
      <w:r>
        <w:rPr>
          <w:rFonts w:cs="David"/>
          <w:vertAlign w:val="superscript"/>
          <w:rtl/>
        </w:rPr>
        <w:footnoteReference w:id="1"/>
      </w:r>
      <w:r>
        <w:rPr>
          <w:rFonts w:eastAsia="Times New Roman" w:cs="David"/>
          <w:vertAlign w:val="superscript"/>
          <w:lang w:eastAsia="he-IL"/>
        </w:rPr>
        <w:t>[1]</w:t>
      </w:r>
      <w:r>
        <w:rPr>
          <w:rFonts w:cs="David" w:hint="cs"/>
          <w:rtl/>
        </w:rPr>
        <w:t>, אני מודיעה על ביטול ההכרזה הקיימת של חברת טחנת יזרעאל עפולה בע"מ</w:t>
      </w:r>
      <w:r>
        <w:rPr>
          <w:rStyle w:val="FootnoteReference"/>
          <w:rFonts w:cs="David"/>
          <w:szCs w:val="20"/>
          <w:rtl/>
        </w:rPr>
        <w:footnoteReference w:id="2"/>
      </w:r>
      <w:r>
        <w:rPr>
          <w:rStyle w:val="FootnoteReference"/>
          <w:rFonts w:eastAsia="Times New Roman" w:cs="David"/>
          <w:szCs w:val="20"/>
          <w:lang w:eastAsia="he-IL"/>
        </w:rPr>
        <w:t>[2]</w:t>
      </w:r>
      <w:r>
        <w:rPr>
          <w:rFonts w:cs="David" w:hint="cs"/>
          <w:rtl/>
        </w:rPr>
        <w:t xml:space="preserve"> כבעלת מונופולין באספקת קמח חיטה כשר לפסח, </w:t>
      </w:r>
      <w:r>
        <w:rPr>
          <w:rFonts w:cs="David" w:hint="cs"/>
          <w:sz w:val="22"/>
          <w:rtl/>
        </w:rPr>
        <w:t xml:space="preserve">לאחר שבדיקה שנערכה ברשות ההגבלים העסקיים העלתה כי החברה אינה מהווה עוד מונופולין באספקתו.  </w:t>
      </w:r>
    </w:p>
    <w:p w:rsidR="00000000" w:rsidRDefault="00496E8E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496E8E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תוקף ביטול ההכרזה – ממועד הודעתי זו. </w:t>
      </w:r>
    </w:p>
    <w:p w:rsidR="00000000" w:rsidRDefault="00496E8E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496E8E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תיק המונופו</w:t>
      </w:r>
      <w:r>
        <w:rPr>
          <w:rFonts w:cs="David" w:hint="cs"/>
          <w:rtl/>
        </w:rPr>
        <w:t xml:space="preserve">לין שמספרו 434 פתוח לעיון הציבור במשרד רשות ההגבלים העסקיים, רחוב כנפי נשרים 22, ירושלים ובאתר האינטרנט של רשות ההגבלים העסקיים שכתובתו: </w:t>
      </w:r>
      <w:hyperlink r:id="rId6" w:history="1">
        <w:r>
          <w:rPr>
            <w:rStyle w:val="Hyperlink"/>
            <w:rFonts w:hint="cs"/>
            <w:color w:val="800080"/>
          </w:rPr>
          <w:t>www.antitrust.gov.il</w:t>
        </w:r>
      </w:hyperlink>
      <w:r>
        <w:rPr>
          <w:rFonts w:cs="David" w:hint="cs"/>
          <w:rtl/>
        </w:rPr>
        <w:t>.</w:t>
      </w:r>
    </w:p>
    <w:p w:rsidR="00000000" w:rsidRDefault="00496E8E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496E8E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496E8E">
      <w:pPr>
        <w:overflowPunct w:val="0"/>
        <w:bidi/>
        <w:adjustRightInd w:val="0"/>
        <w:ind w:left="5040" w:firstLine="72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רונית קן</w:t>
      </w:r>
    </w:p>
    <w:p w:rsidR="00000000" w:rsidRDefault="00496E8E">
      <w:pPr>
        <w:tabs>
          <w:tab w:val="left" w:pos="935"/>
          <w:tab w:val="center" w:pos="6038"/>
        </w:tabs>
        <w:overflowPunct w:val="0"/>
        <w:bidi/>
        <w:adjustRightInd w:val="0"/>
        <w:ind w:left="504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הממונה על הגבלים עסקיים</w:t>
      </w:r>
    </w:p>
    <w:p w:rsidR="00000000" w:rsidRDefault="00496E8E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496E8E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496E8E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 xml:space="preserve">‏‏ט' באב, </w:t>
      </w:r>
      <w:proofErr w:type="spellStart"/>
      <w:r>
        <w:rPr>
          <w:rFonts w:cs="David" w:hint="cs"/>
          <w:sz w:val="22"/>
          <w:rtl/>
        </w:rPr>
        <w:t>התש"ע</w:t>
      </w:r>
      <w:proofErr w:type="spellEnd"/>
    </w:p>
    <w:p w:rsidR="00000000" w:rsidRDefault="00496E8E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‏20 ביולי, 2010</w:t>
      </w:r>
    </w:p>
    <w:p w:rsidR="00000000" w:rsidRDefault="00496E8E">
      <w:pPr>
        <w:bidi/>
        <w:spacing w:before="120"/>
        <w:rPr>
          <w:rFonts w:cs="David" w:hint="cs"/>
          <w:sz w:val="22"/>
          <w:rtl/>
        </w:rPr>
      </w:pPr>
    </w:p>
    <w:p w:rsidR="00000000" w:rsidRDefault="00496E8E">
      <w:pPr>
        <w:bidi/>
        <w:spacing w:before="120"/>
        <w:rPr>
          <w:rFonts w:cs="David" w:hint="cs"/>
          <w:sz w:val="22"/>
          <w:rtl/>
        </w:rPr>
      </w:pPr>
    </w:p>
    <w:p w:rsidR="00000000" w:rsidRDefault="00496E8E">
      <w:pPr>
        <w:bidi/>
        <w:divId w:val="1369914819"/>
        <w:rPr>
          <w:rFonts w:eastAsia="Times New Roman" w:hint="cs"/>
          <w:rtl/>
        </w:rPr>
      </w:pPr>
      <w:r>
        <w:rPr>
          <w:rFonts w:eastAsia="Times New Roman" w:hint="cs"/>
          <w:rtl/>
        </w:rPr>
        <w:br w:type="textWrapping" w:clear="all"/>
      </w:r>
    </w:p>
    <w:p w:rsidR="00000000" w:rsidRDefault="00496E8E">
      <w:pPr>
        <w:bidi/>
        <w:divId w:val="1369914819"/>
        <w:rPr>
          <w:rFonts w:eastAsia="Times New Roman" w:hint="cs"/>
          <w:rtl/>
        </w:rPr>
      </w:pPr>
      <w:r>
        <w:rPr>
          <w:rFonts w:eastAsia="Times New Roman" w:hint="cs"/>
        </w:rPr>
        <w:pict>
          <v:rect id="_x0000_i1025" style="width:141.1pt;height:.75pt" o:hrpct="330" o:hralign="right" o:hrstd="t" o:hr="t" fillcolor="#a0a0a0" stroked="f"/>
        </w:pict>
      </w:r>
    </w:p>
    <w:p w:rsidR="00000000" w:rsidRDefault="00496E8E">
      <w:pPr>
        <w:pStyle w:val="Footer"/>
        <w:divId w:val="1777560245"/>
        <w:rPr>
          <w:rFonts w:hint="cs"/>
          <w:szCs w:val="14"/>
          <w:rtl/>
        </w:rPr>
      </w:pPr>
    </w:p>
    <w:p w:rsidR="00496E8E" w:rsidRDefault="00496E8E">
      <w:pPr>
        <w:divId w:val="1777560245"/>
        <w:rPr>
          <w:rFonts w:eastAsia="Times New Roman" w:hint="cs"/>
        </w:rPr>
      </w:pPr>
      <w:r>
        <w:rPr>
          <w:rFonts w:eastAsia="Times New Roman" w:hint="cs"/>
        </w:rPr>
        <w:t>\</w:t>
      </w:r>
    </w:p>
    <w:sectPr w:rsidR="00496E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E8E" w:rsidRDefault="00496E8E">
      <w:r>
        <w:separator/>
      </w:r>
    </w:p>
  </w:endnote>
  <w:endnote w:type="continuationSeparator" w:id="0">
    <w:p w:rsidR="00496E8E" w:rsidRDefault="0049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E8E" w:rsidRDefault="00496E8E">
      <w:r>
        <w:separator/>
      </w:r>
    </w:p>
  </w:footnote>
  <w:footnote w:type="continuationSeparator" w:id="0">
    <w:p w:rsidR="00496E8E" w:rsidRDefault="00496E8E">
      <w:r>
        <w:continuationSeparator/>
      </w:r>
    </w:p>
  </w:footnote>
  <w:footnote w:id="1">
    <w:p w:rsidR="00000000" w:rsidRDefault="00496E8E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  <w:rFonts w:cs="David"/>
          <w:rtl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[1]</w:t>
      </w:r>
      <w:r>
        <w:rPr>
          <w:rFonts w:cs="David" w:hint="cs"/>
          <w:sz w:val="20"/>
          <w:szCs w:val="20"/>
          <w:rtl/>
        </w:rPr>
        <w:t xml:space="preserve"> ס"ח </w:t>
      </w:r>
      <w:proofErr w:type="spellStart"/>
      <w:r>
        <w:rPr>
          <w:rFonts w:cs="David" w:hint="cs"/>
          <w:sz w:val="20"/>
          <w:szCs w:val="20"/>
          <w:rtl/>
        </w:rPr>
        <w:t>התשמ"ח</w:t>
      </w:r>
      <w:proofErr w:type="spellEnd"/>
      <w:r>
        <w:rPr>
          <w:rFonts w:cs="David" w:hint="cs"/>
          <w:sz w:val="20"/>
          <w:szCs w:val="20"/>
          <w:rtl/>
        </w:rPr>
        <w:t>, עמ' 128.</w:t>
      </w:r>
    </w:p>
  </w:footnote>
  <w:footnote w:id="2">
    <w:p w:rsidR="00000000" w:rsidRDefault="00496E8E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[2]</w:t>
      </w:r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התשנ"א</w:t>
      </w:r>
      <w:proofErr w:type="spellEnd"/>
      <w:r>
        <w:rPr>
          <w:rFonts w:cs="David" w:hint="cs"/>
          <w:sz w:val="20"/>
          <w:szCs w:val="20"/>
          <w:rtl/>
        </w:rPr>
        <w:t>, עמ' 750.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F0BC7"/>
    <w:rsid w:val="00496E8E"/>
    <w:rsid w:val="006E6D46"/>
    <w:rsid w:val="006F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3D279-689C-4C36-B3E5-476B91490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F0B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2</cp:revision>
  <dcterms:created xsi:type="dcterms:W3CDTF">2019-01-15T21:38:00Z</dcterms:created>
  <dcterms:modified xsi:type="dcterms:W3CDTF">2019-01-15T21:38:00Z</dcterms:modified>
</cp:coreProperties>
</file>